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napToGrid w:val="0"/>
        <w:spacing w:line="360" w:lineRule="auto"/>
        <w:jc w:val="left"/>
        <w:rPr>
          <w:rFonts w:hint="eastAsia"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附件1</w:t>
      </w:r>
    </w:p>
    <w:p>
      <w:pPr>
        <w:widowControl/>
        <w:snapToGrid w:val="0"/>
        <w:jc w:val="center"/>
        <w:rPr>
          <w:rFonts w:hint="eastAsia" w:ascii="方正小标宋简体" w:hAnsi="宋体" w:eastAsia="方正小标宋简体" w:cs="仿宋"/>
          <w:kern w:val="0"/>
          <w:sz w:val="36"/>
          <w:szCs w:val="36"/>
        </w:rPr>
      </w:pPr>
      <w:r>
        <w:rPr>
          <w:rFonts w:hint="eastAsia" w:ascii="方正小标宋简体" w:hAnsi="宋体" w:eastAsia="方正小标宋简体" w:cs="仿宋"/>
          <w:bCs/>
          <w:kern w:val="0"/>
          <w:sz w:val="36"/>
          <w:szCs w:val="36"/>
        </w:rPr>
        <w:t>浙江省职业教育与成人教育课题指南</w:t>
      </w:r>
    </w:p>
    <w:p>
      <w:pPr>
        <w:widowControl/>
        <w:snapToGrid w:val="0"/>
        <w:jc w:val="center"/>
        <w:rPr>
          <w:rFonts w:hint="eastAsia" w:ascii="楷体" w:hAnsi="楷体" w:eastAsia="楷体" w:cs="仿宋"/>
          <w:kern w:val="0"/>
          <w:sz w:val="32"/>
          <w:szCs w:val="32"/>
        </w:rPr>
      </w:pPr>
      <w:r>
        <w:rPr>
          <w:rFonts w:hint="eastAsia" w:ascii="楷体" w:hAnsi="楷体" w:eastAsia="楷体" w:cs="仿宋"/>
          <w:b/>
          <w:bCs/>
          <w:kern w:val="0"/>
          <w:sz w:val="32"/>
          <w:szCs w:val="32"/>
        </w:rPr>
        <w:t>（</w:t>
      </w:r>
      <w:r>
        <w:rPr>
          <w:rFonts w:hint="eastAsia" w:ascii="楷体" w:hAnsi="楷体" w:eastAsia="楷体" w:cs="仿宋"/>
          <w:color w:val="000000"/>
          <w:sz w:val="32"/>
          <w:szCs w:val="32"/>
        </w:rPr>
        <w:t>2016年）</w:t>
      </w:r>
    </w:p>
    <w:p>
      <w:pPr>
        <w:widowControl/>
        <w:snapToGrid w:val="0"/>
        <w:jc w:val="left"/>
        <w:rPr>
          <w:rFonts w:hint="eastAsia" w:ascii="宋体" w:hAnsi="宋体" w:cs="仿宋"/>
          <w:kern w:val="0"/>
          <w:sz w:val="28"/>
          <w:szCs w:val="28"/>
        </w:rPr>
      </w:pPr>
    </w:p>
    <w:p>
      <w:pPr>
        <w:spacing w:line="360" w:lineRule="auto"/>
        <w:ind w:firstLine="480" w:firstLineChars="150"/>
        <w:rPr>
          <w:rFonts w:hint="eastAsia" w:ascii="仿宋_GB2312" w:hAnsi="宋体" w:eastAsia="仿宋_GB2312" w:cs="仿宋"/>
          <w:b/>
          <w:sz w:val="32"/>
          <w:szCs w:val="32"/>
        </w:rPr>
      </w:pPr>
      <w:r>
        <w:rPr>
          <w:rFonts w:hint="eastAsia" w:ascii="仿宋_GB2312" w:hAnsi="宋体" w:eastAsia="仿宋_GB2312" w:cs="仿宋"/>
          <w:sz w:val="32"/>
          <w:szCs w:val="32"/>
        </w:rPr>
        <w:t>本指南</w:t>
      </w:r>
      <w:r>
        <w:rPr>
          <w:rFonts w:hint="eastAsia" w:ascii="仿宋_GB2312" w:hAnsi="宋体" w:eastAsia="仿宋_GB2312" w:cs="仿宋"/>
          <w:color w:val="000000"/>
          <w:sz w:val="32"/>
          <w:szCs w:val="32"/>
        </w:rPr>
        <w:t>所提供的内容仅为课题研究领域和方向，供选题时参考，一般不宜直接作为课题题目。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仿宋"/>
          <w:sz w:val="32"/>
          <w:szCs w:val="32"/>
        </w:rPr>
      </w:pPr>
      <w:r>
        <w:rPr>
          <w:rFonts w:hint="eastAsia" w:ascii="仿宋_GB2312" w:hAnsi="宋体" w:eastAsia="仿宋_GB2312" w:cs="仿宋"/>
          <w:sz w:val="32"/>
          <w:szCs w:val="32"/>
        </w:rPr>
        <w:t>1.中高职衔接试点建设研究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仿宋"/>
          <w:sz w:val="32"/>
          <w:szCs w:val="32"/>
        </w:rPr>
      </w:pPr>
      <w:r>
        <w:rPr>
          <w:rFonts w:hint="eastAsia" w:ascii="仿宋_GB2312" w:hAnsi="宋体" w:eastAsia="仿宋_GB2312" w:cs="仿宋"/>
          <w:sz w:val="32"/>
          <w:szCs w:val="32"/>
        </w:rPr>
        <w:t>2.职业院校特色专业（群）建设研究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仿宋"/>
          <w:sz w:val="32"/>
          <w:szCs w:val="32"/>
        </w:rPr>
      </w:pPr>
      <w:r>
        <w:rPr>
          <w:rFonts w:hint="eastAsia" w:ascii="仿宋_GB2312" w:hAnsi="宋体" w:eastAsia="仿宋_GB2312" w:cs="仿宋"/>
          <w:sz w:val="32"/>
          <w:szCs w:val="32"/>
        </w:rPr>
        <w:t>3.中等职业学校生产性实习实训基地建设研究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仿宋"/>
          <w:sz w:val="32"/>
          <w:szCs w:val="32"/>
        </w:rPr>
      </w:pPr>
      <w:r>
        <w:rPr>
          <w:rFonts w:hint="eastAsia" w:ascii="仿宋_GB2312" w:hAnsi="宋体" w:eastAsia="仿宋_GB2312" w:cs="仿宋"/>
          <w:sz w:val="32"/>
          <w:szCs w:val="32"/>
        </w:rPr>
        <w:t>4.浙江省民办职业教育现状及对策研究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仿宋"/>
          <w:sz w:val="32"/>
          <w:szCs w:val="32"/>
        </w:rPr>
      </w:pPr>
      <w:r>
        <w:rPr>
          <w:rFonts w:hint="eastAsia" w:ascii="仿宋_GB2312" w:hAnsi="宋体" w:eastAsia="仿宋_GB2312" w:cs="仿宋"/>
          <w:sz w:val="32"/>
          <w:szCs w:val="32"/>
        </w:rPr>
        <w:t>5.浙江省现代职业教育体系研究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仿宋"/>
          <w:sz w:val="32"/>
          <w:szCs w:val="32"/>
        </w:rPr>
      </w:pPr>
      <w:r>
        <w:rPr>
          <w:rFonts w:hint="eastAsia" w:ascii="仿宋_GB2312" w:hAnsi="宋体" w:eastAsia="仿宋_GB2312" w:cs="仿宋"/>
          <w:sz w:val="32"/>
          <w:szCs w:val="32"/>
        </w:rPr>
        <w:t>6.职业教育产教融合政策研究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仿宋"/>
          <w:sz w:val="32"/>
          <w:szCs w:val="32"/>
        </w:rPr>
      </w:pPr>
      <w:r>
        <w:rPr>
          <w:rFonts w:hint="eastAsia" w:ascii="仿宋_GB2312" w:hAnsi="宋体" w:eastAsia="仿宋_GB2312" w:cs="仿宋"/>
          <w:sz w:val="32"/>
          <w:szCs w:val="32"/>
        </w:rPr>
        <w:t>7.现代学徒制的实践探索与研究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仿宋"/>
          <w:sz w:val="32"/>
          <w:szCs w:val="32"/>
        </w:rPr>
      </w:pPr>
      <w:r>
        <w:rPr>
          <w:rFonts w:hint="eastAsia" w:ascii="仿宋_GB2312" w:hAnsi="宋体" w:eastAsia="仿宋_GB2312" w:cs="仿宋"/>
          <w:sz w:val="32"/>
          <w:szCs w:val="32"/>
        </w:rPr>
        <w:t>8.中职学生核心素养研究</w:t>
      </w:r>
    </w:p>
    <w:p>
      <w:pPr>
        <w:tabs>
          <w:tab w:val="center" w:pos="4153"/>
        </w:tabs>
        <w:spacing w:line="360" w:lineRule="auto"/>
        <w:ind w:firstLine="640" w:firstLineChars="200"/>
        <w:rPr>
          <w:rFonts w:hint="eastAsia" w:ascii="仿宋_GB2312" w:hAnsi="宋体" w:eastAsia="仿宋_GB2312" w:cs="仿宋"/>
          <w:sz w:val="32"/>
          <w:szCs w:val="32"/>
        </w:rPr>
      </w:pPr>
      <w:r>
        <w:rPr>
          <w:rFonts w:hint="eastAsia" w:ascii="仿宋_GB2312" w:hAnsi="宋体" w:eastAsia="仿宋_GB2312" w:cs="仿宋"/>
          <w:sz w:val="32"/>
          <w:szCs w:val="32"/>
        </w:rPr>
        <w:t>9.职业院校学生顶岗实习质量监控机制研究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仿宋"/>
          <w:sz w:val="32"/>
          <w:szCs w:val="32"/>
        </w:rPr>
      </w:pPr>
      <w:r>
        <w:rPr>
          <w:rFonts w:hint="eastAsia" w:ascii="仿宋_GB2312" w:hAnsi="宋体" w:eastAsia="仿宋_GB2312" w:cs="仿宋"/>
          <w:sz w:val="32"/>
          <w:szCs w:val="32"/>
        </w:rPr>
        <w:t>10.职业院校学生创业实践研究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仿宋"/>
          <w:sz w:val="32"/>
          <w:szCs w:val="32"/>
        </w:rPr>
      </w:pPr>
      <w:r>
        <w:rPr>
          <w:rFonts w:hint="eastAsia" w:ascii="仿宋_GB2312" w:hAnsi="宋体" w:eastAsia="仿宋_GB2312" w:cs="仿宋"/>
          <w:sz w:val="32"/>
          <w:szCs w:val="32"/>
        </w:rPr>
        <w:t>11.职业院校优质资源共享机制研究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仿宋"/>
          <w:sz w:val="32"/>
          <w:szCs w:val="32"/>
        </w:rPr>
      </w:pPr>
      <w:r>
        <w:rPr>
          <w:rFonts w:hint="eastAsia" w:ascii="仿宋_GB2312" w:hAnsi="宋体" w:eastAsia="仿宋_GB2312" w:cs="仿宋"/>
          <w:sz w:val="32"/>
          <w:szCs w:val="32"/>
        </w:rPr>
        <w:t>12.成人教育基于在线学习的学分银行建设机制研究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仿宋"/>
          <w:sz w:val="32"/>
          <w:szCs w:val="32"/>
        </w:rPr>
      </w:pPr>
      <w:r>
        <w:rPr>
          <w:rFonts w:hint="eastAsia" w:ascii="仿宋_GB2312" w:hAnsi="宋体" w:eastAsia="仿宋_GB2312" w:cs="仿宋"/>
          <w:sz w:val="32"/>
          <w:szCs w:val="32"/>
        </w:rPr>
        <w:t>13.职业院校教材选用及开发的质量保障机制研究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仿宋"/>
          <w:sz w:val="32"/>
          <w:szCs w:val="32"/>
        </w:rPr>
      </w:pPr>
      <w:r>
        <w:rPr>
          <w:rFonts w:hint="eastAsia" w:ascii="仿宋_GB2312" w:hAnsi="宋体" w:eastAsia="仿宋_GB2312" w:cs="仿宋"/>
          <w:sz w:val="32"/>
          <w:szCs w:val="32"/>
        </w:rPr>
        <w:t>14.职业院校教育教学改革的实践路径研究</w:t>
      </w:r>
    </w:p>
    <w:p>
      <w:pPr>
        <w:spacing w:line="360" w:lineRule="auto"/>
        <w:rPr>
          <w:rFonts w:hint="eastAsia" w:ascii="仿宋_GB2312" w:hAnsi="宋体" w:eastAsia="仿宋_GB2312" w:cs="仿宋"/>
          <w:sz w:val="32"/>
          <w:szCs w:val="32"/>
        </w:rPr>
      </w:pPr>
      <w:r>
        <w:rPr>
          <w:rFonts w:hint="eastAsia" w:ascii="仿宋_GB2312" w:hAnsi="宋体" w:eastAsia="仿宋_GB2312" w:cs="仿宋"/>
          <w:sz w:val="32"/>
          <w:szCs w:val="32"/>
        </w:rPr>
        <w:t xml:space="preserve">    15.职业院校特色课程建设研究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仿宋"/>
          <w:sz w:val="32"/>
          <w:szCs w:val="32"/>
        </w:rPr>
      </w:pPr>
      <w:r>
        <w:rPr>
          <w:rFonts w:hint="eastAsia" w:ascii="仿宋_GB2312" w:hAnsi="宋体" w:eastAsia="仿宋_GB2312" w:cs="仿宋"/>
          <w:sz w:val="32"/>
          <w:szCs w:val="32"/>
        </w:rPr>
        <w:t>16.职业院校特色专业文化建设研究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仿宋"/>
          <w:sz w:val="32"/>
          <w:szCs w:val="32"/>
        </w:rPr>
      </w:pPr>
      <w:r>
        <w:rPr>
          <w:rFonts w:hint="eastAsia" w:ascii="仿宋_GB2312" w:hAnsi="宋体" w:eastAsia="仿宋_GB2312" w:cs="仿宋"/>
          <w:sz w:val="32"/>
          <w:szCs w:val="32"/>
        </w:rPr>
        <w:t>17.职业院校学生学习能力现状及对策研究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仿宋"/>
          <w:sz w:val="32"/>
          <w:szCs w:val="32"/>
        </w:rPr>
      </w:pPr>
      <w:r>
        <w:rPr>
          <w:rFonts w:hint="eastAsia" w:ascii="仿宋_GB2312" w:hAnsi="宋体" w:eastAsia="仿宋_GB2312" w:cs="仿宋"/>
          <w:sz w:val="32"/>
          <w:szCs w:val="32"/>
        </w:rPr>
        <w:t>18.职业院校学生考试评价制度改革研究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仿宋"/>
          <w:sz w:val="32"/>
          <w:szCs w:val="32"/>
        </w:rPr>
      </w:pPr>
      <w:r>
        <w:rPr>
          <w:rFonts w:hint="eastAsia" w:ascii="仿宋_GB2312" w:hAnsi="宋体" w:eastAsia="仿宋_GB2312" w:cs="仿宋"/>
          <w:sz w:val="32"/>
          <w:szCs w:val="32"/>
        </w:rPr>
        <w:t>19.现代职业教育质量评价体系建设研究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仿宋"/>
          <w:sz w:val="32"/>
          <w:szCs w:val="32"/>
        </w:rPr>
      </w:pPr>
      <w:r>
        <w:rPr>
          <w:rFonts w:hint="eastAsia" w:ascii="仿宋_GB2312" w:hAnsi="宋体" w:eastAsia="仿宋_GB2312" w:cs="仿宋"/>
          <w:sz w:val="32"/>
          <w:szCs w:val="32"/>
        </w:rPr>
        <w:t>20.职业技能和职业道德（精神）协同培养研究</w:t>
      </w:r>
    </w:p>
    <w:p>
      <w:pPr>
        <w:tabs>
          <w:tab w:val="left" w:pos="540"/>
        </w:tabs>
        <w:spacing w:line="360" w:lineRule="auto"/>
        <w:ind w:firstLine="640" w:firstLineChars="200"/>
        <w:rPr>
          <w:rFonts w:hint="eastAsia" w:ascii="仿宋_GB2312" w:hAnsi="宋体" w:eastAsia="仿宋_GB2312" w:cs="仿宋"/>
          <w:sz w:val="32"/>
          <w:szCs w:val="32"/>
        </w:rPr>
      </w:pPr>
      <w:r>
        <w:rPr>
          <w:rFonts w:hint="eastAsia" w:ascii="仿宋_GB2312" w:hAnsi="宋体" w:eastAsia="仿宋_GB2312" w:cs="仿宋"/>
          <w:sz w:val="32"/>
          <w:szCs w:val="32"/>
        </w:rPr>
        <w:t>21.职业院校特色发展的途径和评价标准研究</w:t>
      </w:r>
    </w:p>
    <w:p>
      <w:pPr>
        <w:widowControl/>
        <w:spacing w:line="300" w:lineRule="atLeas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22．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终身教育公共服务体系研究</w:t>
      </w:r>
    </w:p>
    <w:p>
      <w:pPr>
        <w:widowControl/>
        <w:spacing w:line="300" w:lineRule="atLeast"/>
        <w:ind w:firstLine="632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spacing w:val="-2"/>
          <w:kern w:val="0"/>
          <w:sz w:val="32"/>
          <w:szCs w:val="32"/>
        </w:rPr>
        <w:t>23．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构建跨部门终身教育协调机制的研究</w:t>
      </w:r>
    </w:p>
    <w:p>
      <w:pPr>
        <w:widowControl/>
        <w:spacing w:line="300" w:lineRule="atLeas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24．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成人高等院校办学机构改革与创新研究</w:t>
      </w:r>
    </w:p>
    <w:p>
      <w:pPr>
        <w:widowControl/>
        <w:spacing w:line="300" w:lineRule="atLeas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25．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社区教育组织形式与管理创新研究</w:t>
      </w:r>
    </w:p>
    <w:p>
      <w:pPr>
        <w:widowControl/>
        <w:spacing w:line="300" w:lineRule="atLeas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26．职业院校推进社区教育的策略研究</w:t>
      </w:r>
    </w:p>
    <w:p>
      <w:pPr>
        <w:widowControl/>
        <w:spacing w:line="300" w:lineRule="atLeast"/>
        <w:ind w:firstLine="640" w:firstLineChars="200"/>
        <w:jc w:val="left"/>
        <w:textAlignment w:val="baseline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27．学习型社区运行机制和评估指标研究</w:t>
      </w:r>
    </w:p>
    <w:p>
      <w:pPr>
        <w:widowControl/>
        <w:spacing w:line="300" w:lineRule="atLeast"/>
        <w:ind w:firstLine="640" w:firstLineChars="200"/>
        <w:jc w:val="left"/>
        <w:textAlignment w:val="baseline"/>
        <w:rPr>
          <w:rFonts w:hint="eastAsia" w:ascii="仿宋_GB2312" w:hAnsi="宋体" w:eastAsia="仿宋_GB2312" w:cs="宋体"/>
          <w:spacing w:val="-2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28．</w:t>
      </w:r>
      <w:r>
        <w:rPr>
          <w:rFonts w:hint="eastAsia" w:ascii="仿宋_GB2312" w:hAnsi="宋体" w:eastAsia="仿宋_GB2312" w:cs="宋体"/>
          <w:spacing w:val="-2"/>
          <w:kern w:val="0"/>
          <w:sz w:val="32"/>
          <w:szCs w:val="32"/>
        </w:rPr>
        <w:t>企业员工岗位培训制度研究</w:t>
      </w:r>
    </w:p>
    <w:p>
      <w:pPr>
        <w:widowControl/>
        <w:spacing w:line="300" w:lineRule="atLeast"/>
        <w:ind w:firstLine="640" w:firstLineChars="200"/>
        <w:jc w:val="left"/>
        <w:textAlignment w:val="baseline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29．行业、企业参与继续教育激励和约束机制研究</w:t>
      </w:r>
    </w:p>
    <w:p>
      <w:pPr>
        <w:widowControl/>
        <w:spacing w:line="300" w:lineRule="atLeas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30．</w:t>
      </w:r>
      <w:r>
        <w:rPr>
          <w:rFonts w:hint="eastAsia" w:ascii="仿宋_GB2312" w:hAnsi="宋体" w:eastAsia="仿宋_GB2312" w:cs="宋体"/>
          <w:spacing w:val="-2"/>
          <w:kern w:val="0"/>
          <w:sz w:val="32"/>
          <w:szCs w:val="32"/>
        </w:rPr>
        <w:t>农村剩余劳动力转移培训研究</w:t>
      </w:r>
    </w:p>
    <w:p>
      <w:pPr>
        <w:widowControl/>
        <w:spacing w:line="300" w:lineRule="atLeas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31．乡镇成人文化技术学校发展对策研究</w:t>
      </w:r>
    </w:p>
    <w:p>
      <w:pPr>
        <w:widowControl/>
        <w:spacing w:line="300" w:lineRule="atLeast"/>
        <w:ind w:firstLine="640" w:firstLineChars="200"/>
        <w:jc w:val="left"/>
        <w:rPr>
          <w:rFonts w:hint="eastAsia" w:ascii="仿宋_GB2312" w:hAnsi="宋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32. 浙江省成人“双证制”教育培训绩效评估研究</w:t>
      </w:r>
    </w:p>
    <w:p>
      <w:pPr>
        <w:widowControl/>
        <w:spacing w:line="300" w:lineRule="atLeas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33. 远程开放教育体系创新研究</w:t>
      </w:r>
    </w:p>
    <w:p>
      <w:pPr>
        <w:widowControl/>
        <w:spacing w:line="300" w:lineRule="atLeas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34．以学习者为主体的远程教育学习支持服务体系研究</w:t>
      </w:r>
    </w:p>
    <w:p>
      <w:pPr>
        <w:widowControl/>
        <w:spacing w:line="300" w:lineRule="atLeast"/>
        <w:ind w:firstLine="640" w:firstLineChars="200"/>
        <w:jc w:val="left"/>
        <w:rPr>
          <w:rFonts w:ascii="仿宋_GB2312" w:hAnsi="宋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35.浙江省成人“双证制“教育培训绩效评估研究</w:t>
      </w:r>
    </w:p>
    <w:p>
      <w:pPr>
        <w:widowControl/>
        <w:spacing w:line="300" w:lineRule="atLeast"/>
        <w:ind w:firstLine="640" w:firstLineChars="200"/>
        <w:jc w:val="left"/>
        <w:rPr>
          <w:rFonts w:hint="eastAsia" w:ascii="仿宋_GB2312" w:hAnsi="宋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36.推进老年教育策略研究</w:t>
      </w:r>
    </w:p>
    <w:p>
      <w:pPr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37.学习型城市建设研究</w:t>
      </w:r>
    </w:p>
    <w:p>
      <w:pPr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38.扫盲教育研究</w:t>
      </w: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 Unicode MS">
    <w:panose1 w:val="020B0604020202020204"/>
    <w:charset w:val="86"/>
    <w:family w:val="script"/>
    <w:pitch w:val="default"/>
    <w:sig w:usb0="FFFFFFFF" w:usb1="E9FFFFFF" w:usb2="0000003F" w:usb3="00000000" w:csb0="603F01FF" w:csb1="FFFF0000"/>
  </w:font>
  <w:font w:name="Arial Unicode MS">
    <w:panose1 w:val="020B0604020202020204"/>
    <w:charset w:val="86"/>
    <w:family w:val="script"/>
    <w:pitch w:val="default"/>
    <w:sig w:usb0="FFFFFFFF" w:usb1="E9FFFFFF" w:usb2="0000003F" w:usb3="00000000" w:csb0="603F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544930"/>
    <w:rsid w:val="57544930"/>
    <w:rsid w:val="5B15794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2016-04-22T06:44:00Z</dcterms:created>
  <dc:creator>Administrator</dc:creator>
  <cp:lastModifiedBy>Administrator</cp:lastModifiedBy>
  <dcterms:modified xsi:type="dcterms:W3CDTF">2016-04-22T06:44:36Z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