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关于横向课题管理流程、报销程序及</w:t>
      </w:r>
      <w:r>
        <w:rPr>
          <w:rFonts w:hint="eastAsia"/>
          <w:b/>
          <w:bCs/>
          <w:sz w:val="40"/>
          <w:szCs w:val="40"/>
          <w:lang w:val="en-US" w:eastAsia="zh-CN"/>
        </w:rPr>
        <w:t>新</w:t>
      </w:r>
      <w:r>
        <w:rPr>
          <w:rFonts w:hint="eastAsia"/>
          <w:b/>
          <w:bCs/>
          <w:sz w:val="40"/>
          <w:szCs w:val="40"/>
        </w:rPr>
        <w:t>管理办法的通知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各项目负责人：​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为进一步规范和优化我校横向课题管理工作，提升服务质量与管理效率，现将横向课题管理流程、报销程序，以及新出台管理办法的相关变化通知如下，请各位老师认真阅读并遵照执行。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一、横向课题立项流程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Autospacing="0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材料填写：项目负责人需填写横向课题登记表、横向课题合同（包含经费预算表），并打印纸质文件。其中，横向课题登记表一式三份，横向课题合同一式四份。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Autospacing="0"/>
        <w:ind w:firstLine="560" w:firstLineChars="200"/>
        <w:textAlignment w:val="auto"/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2.电子预审：</w:t>
      </w:r>
      <w:r>
        <w:rPr>
          <w:rFonts w:hint="eastAsia"/>
          <w:color w:val="auto"/>
          <w:sz w:val="28"/>
          <w:szCs w:val="28"/>
        </w:rPr>
        <w:t>负责人通过浙政钉</w:t>
      </w:r>
      <w:r>
        <w:rPr>
          <w:rFonts w:hint="eastAsia"/>
          <w:color w:val="auto"/>
          <w:sz w:val="28"/>
          <w:szCs w:val="28"/>
          <w:lang w:val="en-US" w:eastAsia="zh-CN"/>
        </w:rPr>
        <w:t>向科技与服务地方处</w:t>
      </w:r>
      <w:r>
        <w:rPr>
          <w:rFonts w:hint="eastAsia"/>
          <w:color w:val="auto"/>
          <w:sz w:val="28"/>
          <w:szCs w:val="28"/>
        </w:rPr>
        <w:t>提交电子版</w:t>
      </w:r>
      <w:r>
        <w:rPr>
          <w:rFonts w:hint="eastAsia"/>
          <w:color w:val="auto"/>
          <w:sz w:val="28"/>
          <w:szCs w:val="28"/>
          <w:lang w:eastAsia="zh-CN"/>
        </w:rPr>
        <w:t>的</w:t>
      </w:r>
      <w:r>
        <w:rPr>
          <w:rFonts w:hint="eastAsia"/>
          <w:color w:val="auto"/>
          <w:sz w:val="28"/>
          <w:szCs w:val="28"/>
        </w:rPr>
        <w:t>横向课题登记表</w:t>
      </w:r>
      <w:r>
        <w:rPr>
          <w:rFonts w:hint="eastAsia"/>
          <w:color w:val="auto"/>
          <w:sz w:val="28"/>
          <w:szCs w:val="28"/>
          <w:lang w:eastAsia="zh-CN"/>
        </w:rPr>
        <w:t>、</w:t>
      </w:r>
      <w:r>
        <w:rPr>
          <w:rFonts w:hint="eastAsia"/>
          <w:color w:val="auto"/>
          <w:sz w:val="28"/>
          <w:szCs w:val="28"/>
        </w:rPr>
        <w:t>横向合同及经费预算表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  <w:szCs w:val="28"/>
          <w:lang w:val="en-US" w:eastAsia="zh-CN"/>
        </w:rPr>
        <w:t>由</w:t>
      </w:r>
      <w:r>
        <w:rPr>
          <w:rFonts w:hint="eastAsia"/>
          <w:color w:val="auto"/>
          <w:sz w:val="28"/>
          <w:szCs w:val="28"/>
        </w:rPr>
        <w:t>法务</w:t>
      </w:r>
      <w:r>
        <w:rPr>
          <w:rFonts w:hint="eastAsia"/>
          <w:color w:val="auto"/>
          <w:sz w:val="28"/>
          <w:szCs w:val="28"/>
          <w:lang w:val="en-US" w:eastAsia="zh-CN"/>
        </w:rPr>
        <w:t>专家</w:t>
      </w:r>
      <w:r>
        <w:rPr>
          <w:rFonts w:hint="eastAsia"/>
          <w:color w:val="auto"/>
          <w:sz w:val="28"/>
          <w:szCs w:val="28"/>
        </w:rPr>
        <w:t>完成合同条款合规性审查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  <w:szCs w:val="28"/>
          <w:lang w:val="en-US" w:eastAsia="zh-CN"/>
        </w:rPr>
        <w:t>科技处工作人员</w:t>
      </w:r>
      <w:r>
        <w:rPr>
          <w:rFonts w:hint="eastAsia"/>
          <w:color w:val="auto"/>
          <w:sz w:val="28"/>
          <w:szCs w:val="28"/>
        </w:rPr>
        <w:t>同步</w:t>
      </w:r>
      <w:r>
        <w:rPr>
          <w:rFonts w:hint="eastAsia"/>
          <w:color w:val="auto"/>
          <w:sz w:val="28"/>
          <w:szCs w:val="28"/>
          <w:lang w:eastAsia="zh-CN"/>
        </w:rPr>
        <w:t>初审。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/>
        <w:ind w:left="0" w:leftChars="0" w:firstLine="560" w:firstLineChars="20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纸质审批</w:t>
      </w:r>
      <w:r>
        <w:rPr>
          <w:rFonts w:hint="eastAsia"/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lang w:val="en-US" w:eastAsia="zh-CN"/>
        </w:rPr>
        <w:t>电子预审通过后，</w:t>
      </w:r>
      <w:r>
        <w:rPr>
          <w:rFonts w:hint="eastAsia"/>
          <w:color w:val="auto"/>
          <w:sz w:val="28"/>
          <w:szCs w:val="28"/>
        </w:rPr>
        <w:t>负责人将上述</w:t>
      </w:r>
      <w:r>
        <w:rPr>
          <w:rFonts w:hint="eastAsia"/>
          <w:color w:val="auto"/>
          <w:sz w:val="28"/>
          <w:szCs w:val="28"/>
          <w:lang w:val="en-US" w:eastAsia="zh-CN"/>
        </w:rPr>
        <w:t>纸质</w:t>
      </w:r>
      <w:r>
        <w:rPr>
          <w:rFonts w:hint="eastAsia"/>
          <w:color w:val="auto"/>
          <w:sz w:val="28"/>
          <w:szCs w:val="28"/>
        </w:rPr>
        <w:t>材料提交至二级学院</w:t>
      </w:r>
      <w:r>
        <w:rPr>
          <w:rFonts w:hint="eastAsia"/>
          <w:color w:val="auto"/>
          <w:sz w:val="28"/>
          <w:szCs w:val="28"/>
          <w:lang w:val="en-US" w:eastAsia="zh-CN"/>
        </w:rPr>
        <w:t>签批</w:t>
      </w:r>
      <w:r>
        <w:rPr>
          <w:rFonts w:hint="eastAsia"/>
          <w:color w:val="auto"/>
          <w:sz w:val="28"/>
          <w:szCs w:val="28"/>
        </w:rPr>
        <w:t>，横向课题登记表需</w:t>
      </w:r>
      <w:r>
        <w:rPr>
          <w:rFonts w:hint="eastAsia"/>
          <w:color w:val="auto"/>
          <w:sz w:val="28"/>
          <w:szCs w:val="28"/>
          <w:lang w:val="en-US" w:eastAsia="zh-CN"/>
        </w:rPr>
        <w:t>由</w:t>
      </w:r>
      <w:r>
        <w:rPr>
          <w:rFonts w:hint="eastAsia"/>
          <w:color w:val="auto"/>
          <w:sz w:val="28"/>
          <w:szCs w:val="28"/>
        </w:rPr>
        <w:t>院长签字并盖章，合同由</w:t>
      </w:r>
      <w:r>
        <w:rPr>
          <w:rFonts w:hint="eastAsia"/>
          <w:color w:val="0000FF"/>
          <w:sz w:val="28"/>
          <w:szCs w:val="28"/>
        </w:rPr>
        <w:t>负责人本人签字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  <w:szCs w:val="28"/>
        </w:rPr>
        <w:t>随后提交至科技与服务地方处，</w:t>
      </w:r>
      <w:r>
        <w:rPr>
          <w:rFonts w:hint="eastAsia"/>
          <w:color w:val="auto"/>
          <w:sz w:val="28"/>
          <w:szCs w:val="28"/>
          <w:lang w:val="en-US" w:eastAsia="zh-CN"/>
        </w:rPr>
        <w:t>科技处完</w:t>
      </w:r>
      <w:r>
        <w:rPr>
          <w:rFonts w:hint="eastAsia"/>
          <w:color w:val="auto"/>
          <w:sz w:val="28"/>
          <w:szCs w:val="28"/>
        </w:rPr>
        <w:t>成横向课题登记表签字盖章、合同内容及预算审核后，将材料返还负责人。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合同盖章：负责人通过钉钉系统提交“印章使用申请”，审批通过后前往</w:t>
      </w:r>
      <w:r>
        <w:rPr>
          <w:rFonts w:hint="eastAsia"/>
          <w:sz w:val="28"/>
          <w:szCs w:val="28"/>
          <w:lang w:val="en-US" w:eastAsia="zh-CN"/>
        </w:rPr>
        <w:t>校办公室</w:t>
      </w:r>
      <w:r>
        <w:rPr>
          <w:rFonts w:hint="eastAsia"/>
          <w:sz w:val="28"/>
          <w:szCs w:val="28"/>
        </w:rPr>
        <w:t>进行合同盖章。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材料备案：负责人将盖章后的横向课题登记表及合同，交至科技与服务地方处一份、学院一份，本人留存一份，另返还企业一份合同。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线上登记与立项：</w:t>
      </w:r>
      <w:r>
        <w:rPr>
          <w:rFonts w:hint="eastAsia"/>
          <w:sz w:val="28"/>
          <w:szCs w:val="28"/>
          <w:lang w:val="en-US" w:eastAsia="zh-CN"/>
        </w:rPr>
        <w:t>材料盖章完成后，需在</w:t>
      </w:r>
      <w:r>
        <w:rPr>
          <w:rFonts w:hint="eastAsia"/>
          <w:color w:val="0000FF"/>
          <w:sz w:val="28"/>
          <w:szCs w:val="28"/>
          <w:lang w:val="en-US" w:eastAsia="zh-CN"/>
        </w:rPr>
        <w:t>一周之内</w:t>
      </w:r>
      <w:r>
        <w:rPr>
          <w:rFonts w:hint="eastAsia"/>
          <w:sz w:val="28"/>
          <w:szCs w:val="28"/>
          <w:lang w:val="en-US" w:eastAsia="zh-CN"/>
        </w:rPr>
        <w:t>登陆</w:t>
      </w:r>
      <w:r>
        <w:rPr>
          <w:rFonts w:hint="eastAsia"/>
          <w:sz w:val="28"/>
          <w:szCs w:val="28"/>
        </w:rPr>
        <w:t>科研系统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准确录入横向课题信息，并上传</w:t>
      </w:r>
      <w:r>
        <w:rPr>
          <w:rFonts w:hint="eastAsia"/>
          <w:color w:val="0000FF"/>
          <w:sz w:val="28"/>
          <w:szCs w:val="28"/>
        </w:rPr>
        <w:t>签字盖章版的横向课题登记表、横向合同（含已签字的经费预算表）</w:t>
      </w:r>
      <w:r>
        <w:rPr>
          <w:rFonts w:hint="eastAsia"/>
          <w:sz w:val="28"/>
          <w:szCs w:val="28"/>
        </w:rPr>
        <w:t>。科研管理人员审核通过后，系统</w:t>
      </w:r>
      <w:r>
        <w:rPr>
          <w:rFonts w:hint="eastAsia"/>
          <w:sz w:val="28"/>
          <w:szCs w:val="28"/>
          <w:lang w:val="en-US" w:eastAsia="zh-CN"/>
        </w:rPr>
        <w:t>即</w:t>
      </w:r>
      <w:r>
        <w:rPr>
          <w:rFonts w:hint="eastAsia"/>
          <w:sz w:val="28"/>
          <w:szCs w:val="28"/>
        </w:rPr>
        <w:t>生成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编号。请务必在经费开票及到账前完成此项操作。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到账认领：确认经费到账后，负责人在财务系统认领课题到账凭证（电子回执单），并上传至科研系统的“经费入账”模块，由科研管理人员审核。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二、横向课题结题流程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结题申请：科技与服务地方处每年6月、12月统一组织结题工作，项目负责人需根据通知要求提交相关结题材料。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结题登记：经项目负责人申请、专家评审、科技与服务地方处审核通过后，学校发布结题文件、制作结题证书并发放给项目负责人。</w:t>
      </w:r>
      <w:r>
        <w:rPr>
          <w:rFonts w:hint="eastAsia"/>
          <w:sz w:val="28"/>
          <w:szCs w:val="28"/>
          <w:lang w:val="en-US" w:eastAsia="zh-CN"/>
        </w:rPr>
        <w:t>结题后，</w:t>
      </w:r>
      <w:r>
        <w:rPr>
          <w:rFonts w:hint="eastAsia"/>
          <w:sz w:val="28"/>
          <w:szCs w:val="28"/>
        </w:rPr>
        <w:t>负责人需将所有结题材料上传至科研系统，</w:t>
      </w:r>
      <w:r>
        <w:rPr>
          <w:rFonts w:hint="eastAsia"/>
          <w:sz w:val="28"/>
          <w:szCs w:val="28"/>
          <w:lang w:val="en-US" w:eastAsia="zh-CN"/>
        </w:rPr>
        <w:t>及时</w:t>
      </w:r>
      <w:r>
        <w:rPr>
          <w:rFonts w:hint="eastAsia"/>
          <w:sz w:val="28"/>
          <w:szCs w:val="28"/>
        </w:rPr>
        <w:t>完成结题登记。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三、横向课题报销</w:t>
      </w:r>
      <w:r>
        <w:rPr>
          <w:rFonts w:hint="eastAsia"/>
          <w:b/>
          <w:bCs/>
          <w:sz w:val="28"/>
          <w:szCs w:val="28"/>
          <w:lang w:val="en-US" w:eastAsia="zh-CN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2024年后立项的横向课题</w:t>
      </w:r>
      <w:r>
        <w:rPr>
          <w:rFonts w:hint="eastAsia"/>
          <w:b/>
          <w:bCs/>
          <w:sz w:val="28"/>
          <w:szCs w:val="28"/>
          <w:lang w:eastAsia="zh-CN"/>
        </w:rPr>
        <w:t>（线上</w:t>
      </w:r>
      <w:r>
        <w:rPr>
          <w:rFonts w:hint="eastAsia"/>
          <w:b/>
          <w:bCs/>
          <w:sz w:val="28"/>
          <w:szCs w:val="28"/>
          <w:lang w:val="en-US" w:eastAsia="zh-CN"/>
        </w:rPr>
        <w:t>报销</w:t>
      </w:r>
      <w:r>
        <w:rPr>
          <w:rFonts w:hint="eastAsia"/>
          <w:b/>
          <w:bCs/>
          <w:sz w:val="28"/>
          <w:szCs w:val="28"/>
          <w:lang w:eastAsia="zh-CN"/>
        </w:rPr>
        <w:t>模式）：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项目负责人填写《科研经费使用审批表》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见附件选择相应版本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，递交至科技与服务地方处，并标注报销明细。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科技与服务地方处审核经费预算及开支明细，工作人员核对无误后，提交部门领导签字审批。审批通过后，工作人员将</w:t>
      </w:r>
      <w:r>
        <w:rPr>
          <w:rFonts w:hint="eastAsia"/>
          <w:sz w:val="28"/>
          <w:szCs w:val="28"/>
          <w:lang w:val="en-US" w:eastAsia="zh-CN"/>
        </w:rPr>
        <w:t>已</w:t>
      </w:r>
      <w:r>
        <w:rPr>
          <w:rFonts w:hint="eastAsia"/>
          <w:sz w:val="28"/>
          <w:szCs w:val="28"/>
        </w:rPr>
        <w:t>签字的《科研经费使用审批表》电子版发送给负责人，纸质版</w:t>
      </w:r>
      <w:r>
        <w:rPr>
          <w:rFonts w:hint="eastAsia"/>
          <w:sz w:val="28"/>
          <w:szCs w:val="28"/>
          <w:lang w:val="en-US" w:eastAsia="zh-CN"/>
        </w:rPr>
        <w:t>由科技处</w:t>
      </w:r>
      <w:r>
        <w:rPr>
          <w:rFonts w:hint="eastAsia"/>
          <w:sz w:val="28"/>
          <w:szCs w:val="28"/>
        </w:rPr>
        <w:t>存档。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项目负责人在财务系统进行报销填报（</w:t>
      </w:r>
      <w:r>
        <w:rPr>
          <w:rFonts w:hint="eastAsia"/>
          <w:sz w:val="28"/>
          <w:szCs w:val="28"/>
          <w:lang w:val="en-US" w:eastAsia="zh-CN"/>
        </w:rPr>
        <w:t>选择</w:t>
      </w:r>
      <w:r>
        <w:rPr>
          <w:rFonts w:hint="eastAsia"/>
          <w:sz w:val="28"/>
          <w:szCs w:val="28"/>
        </w:rPr>
        <w:t>线上模式），将《科研经费使用审批表》及其他报销材料作为附件上传。提交至学院进行线上审核，学院领导</w:t>
      </w:r>
      <w:r>
        <w:rPr>
          <w:rFonts w:hint="eastAsia"/>
          <w:sz w:val="28"/>
          <w:szCs w:val="28"/>
          <w:lang w:val="en-US" w:eastAsia="zh-CN"/>
        </w:rPr>
        <w:t>审批</w:t>
      </w:r>
      <w:r>
        <w:rPr>
          <w:rFonts w:hint="eastAsia"/>
          <w:sz w:val="28"/>
          <w:szCs w:val="28"/>
        </w:rPr>
        <w:t>后推送至财务处线上审核。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所有审批通过后，财务进行打款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注意：</w:t>
      </w:r>
      <w:r>
        <w:rPr>
          <w:rFonts w:hint="eastAsia"/>
          <w:color w:val="auto"/>
          <w:sz w:val="28"/>
          <w:szCs w:val="28"/>
        </w:rPr>
        <w:t>如涉及申请激励费发放，需</w:t>
      </w:r>
      <w:r>
        <w:rPr>
          <w:rFonts w:hint="eastAsia"/>
          <w:color w:val="auto"/>
          <w:sz w:val="28"/>
          <w:szCs w:val="28"/>
          <w:lang w:val="en-US" w:eastAsia="zh-CN"/>
        </w:rPr>
        <w:t>另填写</w:t>
      </w:r>
      <w:r>
        <w:rPr>
          <w:rFonts w:hint="eastAsia"/>
          <w:color w:val="auto"/>
          <w:sz w:val="28"/>
          <w:szCs w:val="28"/>
        </w:rPr>
        <w:t>纸质版《激励费发放申请表》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  <w:szCs w:val="28"/>
        </w:rPr>
        <w:t>在学院签字盖章后，交至科技与服务地方处签字盖章。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2023年及之前立项的横向课题</w:t>
      </w:r>
      <w:r>
        <w:rPr>
          <w:rFonts w:hint="eastAsia"/>
          <w:b/>
          <w:bCs/>
          <w:sz w:val="28"/>
          <w:szCs w:val="28"/>
          <w:lang w:eastAsia="zh-CN"/>
        </w:rPr>
        <w:t>（线</w:t>
      </w:r>
      <w:r>
        <w:rPr>
          <w:rFonts w:hint="eastAsia"/>
          <w:b/>
          <w:bCs/>
          <w:sz w:val="28"/>
          <w:szCs w:val="28"/>
          <w:lang w:val="en-US" w:eastAsia="zh-CN"/>
        </w:rPr>
        <w:t>下报销</w:t>
      </w:r>
      <w:r>
        <w:rPr>
          <w:rFonts w:hint="eastAsia"/>
          <w:b/>
          <w:bCs/>
          <w:sz w:val="28"/>
          <w:szCs w:val="28"/>
          <w:lang w:eastAsia="zh-CN"/>
        </w:rPr>
        <w:t>模式）：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项目负责人填写《科研经费使用审批表》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见附件选择相应版本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，在财务系统进行报销填报（</w:t>
      </w:r>
      <w:r>
        <w:rPr>
          <w:rFonts w:hint="eastAsia"/>
          <w:sz w:val="28"/>
          <w:szCs w:val="28"/>
          <w:lang w:val="en-US" w:eastAsia="zh-CN"/>
        </w:rPr>
        <w:t>选择</w:t>
      </w:r>
      <w:r>
        <w:rPr>
          <w:rFonts w:hint="eastAsia"/>
          <w:sz w:val="28"/>
          <w:szCs w:val="28"/>
        </w:rPr>
        <w:t>线下模式），将所有报销材料作为附件上传，并打印财务系统生成的报销单。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将所有纸质报销材料递交至学院科研秘书，学院初审后，送至科技与服务地方处。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科技与服务地方处审核经费预算、开支明细及相关票据，工作人员审核后，提交部门领导签字审批。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审批通过后，工作人员通知项目负责人领取所有报销材料。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项目负责人将报销材料送至财务处，财务人员现场进行线上及线下的单据材料审核。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所有审批通过后，财务打款。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四、横向课题管理办法的变化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横向科研项目定义：横向科研项目是指除纵向科研项目以外，由政府部门、企事业单位、研究机构、学术团队及个人委托我校（或与我校合作）研究开发的项目。特别说明的是，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校地合作项目将不再单独分类，</w:t>
      </w:r>
      <w:r>
        <w:rPr>
          <w:rFonts w:hint="eastAsia"/>
          <w:color w:val="0000FF"/>
          <w:sz w:val="28"/>
          <w:szCs w:val="28"/>
          <w:lang w:val="en-US" w:eastAsia="zh-CN"/>
        </w:rPr>
        <w:t>而是归入此类别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审批机制调整：按照项目负责人制的工作要求，</w:t>
      </w:r>
      <w:r>
        <w:rPr>
          <w:rFonts w:hint="eastAsia"/>
          <w:b w:val="0"/>
          <w:bCs w:val="0"/>
          <w:sz w:val="28"/>
          <w:szCs w:val="28"/>
        </w:rPr>
        <w:t>审批工作由二级学院实施</w:t>
      </w:r>
      <w:r>
        <w:rPr>
          <w:rFonts w:hint="eastAsia"/>
          <w:sz w:val="28"/>
          <w:szCs w:val="28"/>
        </w:rPr>
        <w:t>，科技与服务地方处、计划财务处等部门进行监管。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管理费政策优化：</w:t>
      </w:r>
      <w:r>
        <w:rPr>
          <w:rFonts w:hint="eastAsia"/>
          <w:b w:val="0"/>
          <w:bCs w:val="0"/>
          <w:color w:val="0000FF"/>
          <w:sz w:val="28"/>
          <w:szCs w:val="28"/>
        </w:rPr>
        <w:t>横向课题不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再</w:t>
      </w:r>
      <w:r>
        <w:rPr>
          <w:rFonts w:hint="eastAsia"/>
          <w:b w:val="0"/>
          <w:bCs w:val="0"/>
          <w:color w:val="0000FF"/>
          <w:sz w:val="28"/>
          <w:szCs w:val="28"/>
        </w:rPr>
        <w:t>收取管理费</w:t>
      </w:r>
      <w:r>
        <w:rPr>
          <w:rFonts w:hint="eastAsia"/>
          <w:b w:val="0"/>
          <w:bCs w:val="0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但对于以学校名义招标的项目，则需缴纳8%的管理费，此费用将在项目完成后作为奖励性绩效发放给项目负责人所在学院。需要注意的是，根据现行财政规定，</w:t>
      </w:r>
      <w:bookmarkStart w:id="0" w:name="OLE_LINK1"/>
      <w:r>
        <w:rPr>
          <w:rFonts w:hint="eastAsia"/>
          <w:color w:val="0000FF"/>
          <w:sz w:val="28"/>
          <w:szCs w:val="28"/>
          <w:lang w:val="en-US" w:eastAsia="zh-CN"/>
        </w:rPr>
        <w:t>目前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所有横向课题经费需扣除合同总经费的6.05%作为税费</w:t>
      </w:r>
      <w:r>
        <w:rPr>
          <w:rFonts w:hint="eastAsia"/>
          <w:sz w:val="28"/>
          <w:szCs w:val="28"/>
          <w:lang w:val="en-US" w:eastAsia="zh-CN"/>
        </w:rPr>
        <w:t>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支出科目简化：为提高效率，直接费用类别已简化为三大项：设备费、业务费和劳务费。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预算调剂便捷化：预算调剂只需按照委托方的合同要求，实施更简便的调剂手续，不受额度限制。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如有任何疑问，请联系科技与服务地方处</w:t>
      </w:r>
      <w:r>
        <w:rPr>
          <w:rFonts w:hint="eastAsia"/>
          <w:sz w:val="28"/>
          <w:szCs w:val="28"/>
          <w:lang w:val="en-US" w:eastAsia="zh-CN"/>
        </w:rPr>
        <w:t>向老师</w:t>
      </w:r>
      <w:r>
        <w:rPr>
          <w:rFonts w:hint="eastAsia"/>
          <w:sz w:val="28"/>
          <w:szCs w:val="28"/>
        </w:rPr>
        <w:t>，联系电话：</w:t>
      </w:r>
      <w:r>
        <w:rPr>
          <w:rFonts w:hint="eastAsia"/>
          <w:sz w:val="28"/>
          <w:szCs w:val="28"/>
          <w:lang w:val="en-US" w:eastAsia="zh-CN"/>
        </w:rPr>
        <w:t>2364343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横向课题登记表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横向课题合同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科研</w:t>
      </w:r>
      <w:r>
        <w:rPr>
          <w:rFonts w:hint="default"/>
          <w:sz w:val="28"/>
          <w:szCs w:val="28"/>
          <w:lang w:val="en-US" w:eastAsia="zh-CN"/>
        </w:rPr>
        <w:t>经费使用审批表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横向</w:t>
      </w:r>
      <w:r>
        <w:rPr>
          <w:rFonts w:hint="eastAsia"/>
          <w:sz w:val="28"/>
          <w:szCs w:val="28"/>
          <w:lang w:val="en-US" w:eastAsia="zh-CN"/>
        </w:rPr>
        <w:t>课题</w:t>
      </w:r>
      <w:r>
        <w:rPr>
          <w:rFonts w:hint="default"/>
          <w:sz w:val="28"/>
          <w:szCs w:val="28"/>
          <w:lang w:val="en-US" w:eastAsia="zh-CN"/>
        </w:rPr>
        <w:t>经费预算调整申请表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righ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科技与服务地方处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righ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2025年5月6日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037A8B"/>
    <w:multiLevelType w:val="singleLevel"/>
    <w:tmpl w:val="A4037A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6EE334E"/>
    <w:multiLevelType w:val="singleLevel"/>
    <w:tmpl w:val="B6EE33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547A282"/>
    <w:multiLevelType w:val="singleLevel"/>
    <w:tmpl w:val="E547A2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EB63F7C"/>
    <w:multiLevelType w:val="singleLevel"/>
    <w:tmpl w:val="EEB63F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929F047"/>
    <w:multiLevelType w:val="singleLevel"/>
    <w:tmpl w:val="0929F0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2C6EEED"/>
    <w:multiLevelType w:val="singleLevel"/>
    <w:tmpl w:val="32C6EEE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F728C"/>
    <w:rsid w:val="00592DA1"/>
    <w:rsid w:val="02F51BF7"/>
    <w:rsid w:val="0E1C57DC"/>
    <w:rsid w:val="0F5A0BA6"/>
    <w:rsid w:val="12F6358A"/>
    <w:rsid w:val="167B394A"/>
    <w:rsid w:val="17443DE1"/>
    <w:rsid w:val="18A66977"/>
    <w:rsid w:val="1A943B41"/>
    <w:rsid w:val="21EB58CE"/>
    <w:rsid w:val="25515EE8"/>
    <w:rsid w:val="25B05827"/>
    <w:rsid w:val="29FB5E31"/>
    <w:rsid w:val="2CCE4FE8"/>
    <w:rsid w:val="2FD12BE6"/>
    <w:rsid w:val="326E5ABA"/>
    <w:rsid w:val="404C503B"/>
    <w:rsid w:val="44652ED3"/>
    <w:rsid w:val="49A05058"/>
    <w:rsid w:val="4D1342AC"/>
    <w:rsid w:val="50490579"/>
    <w:rsid w:val="50702544"/>
    <w:rsid w:val="522445C3"/>
    <w:rsid w:val="52DE504A"/>
    <w:rsid w:val="556F0930"/>
    <w:rsid w:val="574C55D3"/>
    <w:rsid w:val="577F728C"/>
    <w:rsid w:val="590C7AA8"/>
    <w:rsid w:val="60FC29B6"/>
    <w:rsid w:val="651D1151"/>
    <w:rsid w:val="69074D4A"/>
    <w:rsid w:val="6B3368F9"/>
    <w:rsid w:val="6E880A35"/>
    <w:rsid w:val="72D946B4"/>
    <w:rsid w:val="73EA1749"/>
    <w:rsid w:val="74037402"/>
    <w:rsid w:val="75CB6530"/>
    <w:rsid w:val="7655783B"/>
    <w:rsid w:val="796D0BA0"/>
    <w:rsid w:val="7A5443DF"/>
    <w:rsid w:val="7EB8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187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2025-03-28T07:06:00Z</dcterms:created>
  <dc:creator>xxxxxin</dc:creator>
  <cp:lastModifiedBy>xxxxxin</cp:lastModifiedBy>
  <dcterms:modified xsi:type="dcterms:W3CDTF">2025-05-06T06:14:02Z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